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2C0D" w:rsidR="00181ABF" w:rsidP="00EB1F73" w:rsidRDefault="00062C0D" w14:paraId="073592D9" w14:textId="520C27A4">
      <w:pPr>
        <w:pStyle w:val="Texto"/>
        <w:spacing w:before="0" w:after="0" w:line="240" w:lineRule="auto"/>
        <w:jc w:val="center"/>
        <w:rPr>
          <w:sz w:val="24"/>
        </w:rPr>
      </w:pPr>
      <w:r w:rsidRPr="00062C0D">
        <w:rPr>
          <w:sz w:val="24"/>
        </w:rPr>
        <w:t>0</w:t>
      </w:r>
      <w:r w:rsidRPr="00062C0D" w:rsidR="00D36590">
        <w:rPr>
          <w:sz w:val="24"/>
        </w:rPr>
        <w:t>1</w:t>
      </w:r>
      <w:r w:rsidRPr="00062C0D" w:rsidR="00EB1F73">
        <w:rPr>
          <w:sz w:val="24"/>
        </w:rPr>
        <w:t xml:space="preserve"> de </w:t>
      </w:r>
      <w:r w:rsidRPr="00062C0D" w:rsidR="00D36590">
        <w:rPr>
          <w:sz w:val="24"/>
        </w:rPr>
        <w:t>noviembre</w:t>
      </w:r>
      <w:r w:rsidRPr="00062C0D" w:rsidR="00EB1F73">
        <w:rPr>
          <w:sz w:val="24"/>
        </w:rPr>
        <w:t xml:space="preserve"> de 2023</w:t>
      </w:r>
    </w:p>
    <w:sdt>
      <w:sdtPr>
        <w:rPr>
          <w:sz w:val="24"/>
        </w:rPr>
        <w:alias w:val="Consecutivo"/>
        <w:tag w:val="Consecutivo"/>
        <w:id w:val="2052717023"/>
        <w:placeholder>
          <w:docPart w:val="E00466BC69D14F8982C02EA5A96E0726"/>
        </w:placeholder>
        <w:text/>
      </w:sdtPr>
      <w:sdtEndPr/>
      <w:sdtContent>
        <w:p w:rsidRPr="00062C0D" w:rsidR="00181ABF" w:rsidP="00EB1F73" w:rsidRDefault="00181ABF" w14:paraId="2D4F411C" w14:textId="77777777">
          <w:pPr>
            <w:tabs>
              <w:tab w:val="left" w:pos="2843"/>
            </w:tabs>
            <w:spacing w:line="240" w:lineRule="auto"/>
            <w:jc w:val="center"/>
            <w:rPr>
              <w:sz w:val="24"/>
            </w:rPr>
          </w:pPr>
          <w:r>
            <w:t>SGF-2882-2023</w:t>
          </w:r>
        </w:p>
      </w:sdtContent>
    </w:sdt>
    <w:p w:rsidRPr="00062C0D" w:rsidR="00181ABF" w:rsidP="00EB1F73" w:rsidRDefault="00062C0D" w14:paraId="5481A470" w14:textId="3E0955DF">
      <w:pPr>
        <w:tabs>
          <w:tab w:val="left" w:pos="2843"/>
        </w:tabs>
        <w:spacing w:line="240" w:lineRule="auto"/>
        <w:jc w:val="center"/>
        <w:rPr>
          <w:sz w:val="24"/>
        </w:rPr>
      </w:pPr>
      <w:sdt>
        <w:sdtPr>
          <w:rPr>
            <w:sz w:val="24"/>
          </w:rPr>
          <w:alias w:val="Confidencialidad"/>
          <w:tag w:val="Confidencialidad"/>
          <w:id w:val="1447896894"/>
          <w:placeholder>
            <w:docPart w:val="A741A57C9E0E4A42A227652F8045B90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062C0D" w:rsidR="00EB1F73">
            <w:rPr>
              <w:sz w:val="24"/>
            </w:rPr>
            <w:t>SGF-PUBLICO</w:t>
          </w:r>
        </w:sdtContent>
      </w:sdt>
    </w:p>
    <w:p w:rsidRPr="00062C0D" w:rsidR="00181ABF" w:rsidP="00EB1F73" w:rsidRDefault="00181ABF" w14:paraId="0C8E51A7" w14:textId="07302B2D">
      <w:pPr>
        <w:tabs>
          <w:tab w:val="left" w:pos="2843"/>
        </w:tabs>
        <w:spacing w:line="240" w:lineRule="auto"/>
        <w:jc w:val="center"/>
        <w:rPr>
          <w:sz w:val="24"/>
        </w:rPr>
      </w:pPr>
    </w:p>
    <w:p w:rsidRPr="00062C0D" w:rsidR="00D36590" w:rsidP="00D36590" w:rsidRDefault="00D36590" w14:paraId="278DD971" w14:textId="77777777">
      <w:pPr>
        <w:widowControl w:val="0"/>
        <w:ind w:left="34" w:right="86"/>
        <w:outlineLvl w:val="0"/>
        <w:rPr>
          <w:b/>
          <w:sz w:val="24"/>
          <w:lang w:val="es-CR"/>
        </w:rPr>
      </w:pPr>
      <w:r w:rsidRPr="00062C0D">
        <w:rPr>
          <w:b/>
          <w:sz w:val="24"/>
          <w:lang w:val="es-CR"/>
        </w:rPr>
        <w:t xml:space="preserve">Dirigida a: </w:t>
      </w:r>
    </w:p>
    <w:p w:rsidRPr="00062C0D" w:rsidR="00D36590" w:rsidP="00D36590" w:rsidRDefault="00D36590" w14:paraId="07DB7A74" w14:textId="77777777">
      <w:pPr>
        <w:widowControl w:val="0"/>
        <w:ind w:left="34" w:right="86"/>
        <w:outlineLvl w:val="0"/>
        <w:rPr>
          <w:b/>
          <w:sz w:val="24"/>
          <w:lang w:val="es-CR"/>
        </w:rPr>
      </w:pPr>
    </w:p>
    <w:p w:rsidRPr="00062C0D" w:rsidR="00D36590" w:rsidP="00D36590" w:rsidRDefault="00D36590" w14:paraId="09F562AD" w14:textId="77777777">
      <w:pPr>
        <w:pStyle w:val="Prrafodelista"/>
        <w:widowControl w:val="0"/>
        <w:numPr>
          <w:ilvl w:val="0"/>
          <w:numId w:val="4"/>
        </w:numPr>
        <w:ind w:right="86"/>
        <w:outlineLvl w:val="0"/>
        <w:rPr>
          <w:rFonts w:ascii="Cambria" w:hAnsi="Cambria"/>
          <w:b/>
        </w:rPr>
      </w:pPr>
      <w:r w:rsidRPr="00062C0D">
        <w:rPr>
          <w:rFonts w:ascii="Cambria" w:hAnsi="Cambria"/>
          <w:b/>
        </w:rPr>
        <w:t>Bancos Comerciales del Estado</w:t>
      </w:r>
    </w:p>
    <w:p w:rsidRPr="00062C0D" w:rsidR="00D36590" w:rsidP="00D36590" w:rsidRDefault="00D36590" w14:paraId="25D7329C" w14:textId="77777777">
      <w:pPr>
        <w:pStyle w:val="Prrafodelista"/>
        <w:widowControl w:val="0"/>
        <w:numPr>
          <w:ilvl w:val="0"/>
          <w:numId w:val="4"/>
        </w:numPr>
        <w:ind w:right="86"/>
        <w:outlineLvl w:val="0"/>
        <w:rPr>
          <w:rFonts w:ascii="Cambria" w:hAnsi="Cambria"/>
          <w:b/>
        </w:rPr>
      </w:pPr>
      <w:r w:rsidRPr="00062C0D">
        <w:rPr>
          <w:rFonts w:ascii="Cambria" w:hAnsi="Cambria"/>
          <w:b/>
        </w:rPr>
        <w:t xml:space="preserve">Bancos Creados por Leyes Especiales </w:t>
      </w:r>
    </w:p>
    <w:p w:rsidRPr="00062C0D" w:rsidR="00D36590" w:rsidP="00D36590" w:rsidRDefault="00D36590" w14:paraId="4BBD4125" w14:textId="77777777">
      <w:pPr>
        <w:pStyle w:val="Prrafodelista"/>
        <w:widowControl w:val="0"/>
        <w:numPr>
          <w:ilvl w:val="0"/>
          <w:numId w:val="4"/>
        </w:numPr>
        <w:ind w:right="86"/>
        <w:outlineLvl w:val="0"/>
        <w:rPr>
          <w:rFonts w:ascii="Cambria" w:hAnsi="Cambria"/>
          <w:b/>
        </w:rPr>
      </w:pPr>
      <w:r w:rsidRPr="00062C0D">
        <w:rPr>
          <w:rFonts w:ascii="Cambria" w:hAnsi="Cambria"/>
          <w:b/>
        </w:rPr>
        <w:t>Bancos Privados</w:t>
      </w:r>
    </w:p>
    <w:p w:rsidRPr="00062C0D" w:rsidR="00D36590" w:rsidP="00D36590" w:rsidRDefault="00D36590" w14:paraId="3679044E" w14:textId="77777777">
      <w:pPr>
        <w:pStyle w:val="Prrafodelista"/>
        <w:widowControl w:val="0"/>
        <w:numPr>
          <w:ilvl w:val="0"/>
          <w:numId w:val="4"/>
        </w:numPr>
        <w:ind w:right="86"/>
        <w:outlineLvl w:val="0"/>
        <w:rPr>
          <w:rFonts w:ascii="Cambria" w:hAnsi="Cambria"/>
          <w:b/>
        </w:rPr>
      </w:pPr>
      <w:r w:rsidRPr="00062C0D">
        <w:rPr>
          <w:rFonts w:ascii="Cambria" w:hAnsi="Cambria"/>
          <w:b/>
        </w:rPr>
        <w:t>Cooperativas de Ahorro y Crédito</w:t>
      </w:r>
    </w:p>
    <w:p w:rsidRPr="00062C0D" w:rsidR="00D36590" w:rsidP="00D36590" w:rsidRDefault="00D36590" w14:paraId="5BA6F256" w14:textId="77777777">
      <w:pPr>
        <w:pStyle w:val="Prrafodelista"/>
        <w:widowControl w:val="0"/>
        <w:numPr>
          <w:ilvl w:val="0"/>
          <w:numId w:val="4"/>
        </w:numPr>
        <w:ind w:right="86"/>
        <w:outlineLvl w:val="0"/>
        <w:rPr>
          <w:rFonts w:ascii="Cambria" w:hAnsi="Cambria"/>
          <w:b/>
        </w:rPr>
      </w:pPr>
      <w:r w:rsidRPr="00062C0D">
        <w:rPr>
          <w:rFonts w:ascii="Cambria" w:hAnsi="Cambria"/>
          <w:b/>
        </w:rPr>
        <w:t>Empresas Financieras no Bancarias</w:t>
      </w:r>
    </w:p>
    <w:p w:rsidRPr="00062C0D" w:rsidR="00D36590" w:rsidP="00D36590" w:rsidRDefault="00D36590" w14:paraId="2EABAA74" w14:textId="77777777">
      <w:pPr>
        <w:pStyle w:val="Prrafodelista"/>
        <w:widowControl w:val="0"/>
        <w:numPr>
          <w:ilvl w:val="0"/>
          <w:numId w:val="4"/>
        </w:numPr>
        <w:ind w:right="86"/>
        <w:outlineLvl w:val="0"/>
        <w:rPr>
          <w:rFonts w:ascii="Cambria" w:hAnsi="Cambria"/>
          <w:b/>
        </w:rPr>
      </w:pPr>
      <w:r w:rsidRPr="00062C0D">
        <w:rPr>
          <w:rFonts w:ascii="Cambria" w:hAnsi="Cambria"/>
          <w:b/>
        </w:rPr>
        <w:t>Mutuales de Ahorro y Préstamos</w:t>
      </w:r>
    </w:p>
    <w:p w:rsidRPr="00062C0D" w:rsidR="00D36590" w:rsidP="00D36590" w:rsidRDefault="00D36590" w14:paraId="0AB6FC7C" w14:textId="77777777">
      <w:pPr>
        <w:pStyle w:val="Prrafodelista"/>
        <w:widowControl w:val="0"/>
        <w:numPr>
          <w:ilvl w:val="0"/>
          <w:numId w:val="4"/>
        </w:numPr>
        <w:ind w:right="86"/>
        <w:outlineLvl w:val="0"/>
        <w:rPr>
          <w:rFonts w:ascii="Cambria" w:hAnsi="Cambria"/>
          <w:b/>
        </w:rPr>
      </w:pPr>
      <w:r w:rsidRPr="00062C0D">
        <w:rPr>
          <w:rFonts w:ascii="Cambria" w:hAnsi="Cambria"/>
          <w:b/>
        </w:rPr>
        <w:t>Otras Entidades Financieras</w:t>
      </w:r>
    </w:p>
    <w:p w:rsidRPr="00062C0D" w:rsidR="00D36590" w:rsidP="00D36590" w:rsidRDefault="00D36590" w14:paraId="2900DA72" w14:textId="77777777">
      <w:pPr>
        <w:widowControl w:val="0"/>
        <w:ind w:left="34" w:right="86"/>
        <w:outlineLvl w:val="0"/>
        <w:rPr>
          <w:b/>
          <w:sz w:val="24"/>
        </w:rPr>
      </w:pPr>
    </w:p>
    <w:p w:rsidRPr="00062C0D" w:rsidR="00D36590" w:rsidP="00D36590" w:rsidRDefault="00D36590" w14:paraId="20C90023" w14:textId="77777777">
      <w:pPr>
        <w:rPr>
          <w:b/>
          <w:sz w:val="24"/>
          <w:lang w:val="es-CR"/>
        </w:rPr>
      </w:pPr>
    </w:p>
    <w:p w:rsidRPr="00062C0D" w:rsidR="00D36590" w:rsidP="00D36590" w:rsidRDefault="00D36590" w14:paraId="5A170572" w14:textId="77777777">
      <w:pPr>
        <w:rPr>
          <w:sz w:val="24"/>
        </w:rPr>
      </w:pPr>
      <w:r w:rsidRPr="00062C0D">
        <w:rPr>
          <w:b/>
          <w:sz w:val="24"/>
        </w:rPr>
        <w:t xml:space="preserve">Asunto: </w:t>
      </w:r>
      <w:r w:rsidRPr="00062C0D">
        <w:rPr>
          <w:bCs/>
          <w:sz w:val="24"/>
        </w:rPr>
        <w:t>Derogatoria de las Circulares externas SGF</w:t>
      </w:r>
      <w:r w:rsidRPr="00062C0D">
        <w:rPr>
          <w:sz w:val="24"/>
        </w:rPr>
        <w:t>-2584-2020, SGF-3019-2020 y SGF-1939-2022 del 4 de agosto de 2020, 1 de setiembre de 2020 y 26 de septiembre de 2022, respectivamente. Solicitud de “Plan de gestión de la cartera de crédito”.</w:t>
      </w:r>
    </w:p>
    <w:p w:rsidRPr="00062C0D" w:rsidR="00D36590" w:rsidP="00D36590" w:rsidRDefault="00D36590" w14:paraId="4038D23C" w14:textId="77777777">
      <w:pPr>
        <w:rPr>
          <w:sz w:val="24"/>
        </w:rPr>
      </w:pPr>
    </w:p>
    <w:p w:rsidRPr="00062C0D" w:rsidR="00D36590" w:rsidP="00D36590" w:rsidRDefault="00D36590" w14:paraId="5EE6303F" w14:textId="77777777">
      <w:pPr>
        <w:tabs>
          <w:tab w:val="left" w:pos="2843"/>
        </w:tabs>
        <w:contextualSpacing/>
        <w:rPr>
          <w:b/>
          <w:sz w:val="24"/>
        </w:rPr>
      </w:pPr>
      <w:r w:rsidRPr="00062C0D">
        <w:rPr>
          <w:b/>
          <w:sz w:val="24"/>
        </w:rPr>
        <w:t>Considerando que:</w:t>
      </w:r>
    </w:p>
    <w:p w:rsidRPr="00062C0D" w:rsidR="00D36590" w:rsidP="00D36590" w:rsidRDefault="00D36590" w14:paraId="3FD5C2AB" w14:textId="77777777">
      <w:pPr>
        <w:tabs>
          <w:tab w:val="left" w:pos="6990"/>
        </w:tabs>
        <w:contextualSpacing/>
        <w:rPr>
          <w:sz w:val="24"/>
        </w:rPr>
      </w:pPr>
      <w:r w:rsidRPr="00062C0D">
        <w:rPr>
          <w:sz w:val="24"/>
        </w:rPr>
        <w:tab/>
      </w:r>
    </w:p>
    <w:p w:rsidRPr="00062C0D" w:rsidR="00D36590" w:rsidP="00D36590" w:rsidRDefault="00D36590" w14:paraId="0699F58A" w14:textId="77777777">
      <w:pPr>
        <w:pStyle w:val="Prrafodelista"/>
        <w:ind w:left="360"/>
        <w:jc w:val="both"/>
        <w:rPr>
          <w:rFonts w:ascii="Cambria" w:hAnsi="Cambria"/>
        </w:rPr>
      </w:pPr>
    </w:p>
    <w:p w:rsidRPr="00062C0D" w:rsidR="00D36590" w:rsidP="00D36590" w:rsidRDefault="00D36590" w14:paraId="5B6D5352" w14:textId="77777777">
      <w:pPr>
        <w:pStyle w:val="Prrafodelista"/>
        <w:numPr>
          <w:ilvl w:val="0"/>
          <w:numId w:val="3"/>
        </w:numPr>
        <w:jc w:val="both"/>
        <w:rPr>
          <w:rFonts w:ascii="Cambria" w:hAnsi="Cambria"/>
        </w:rPr>
      </w:pPr>
      <w:r w:rsidRPr="00062C0D">
        <w:rPr>
          <w:rFonts w:ascii="Cambria" w:hAnsi="Cambria"/>
        </w:rPr>
        <w:t>A partir de la declaratoria de emergencia nacional mediante Decreto Ejecutivo 42227-MP-S del 16 de marzo de 2020, ante la emergencia sanitaria provocada por la enfermedad COVID-19, y conforme las medidas de restricción y aislamiento social fueron impactando con severidad la actividad económica del país, las autoridades financieras en general adoptaron diferentes medidas de flexibilización, las cuales fueron consistentes con la tolerancia y flexibilización regulatoria seguida internacionalmente en múltiples jurisdicciones.</w:t>
      </w:r>
    </w:p>
    <w:p w:rsidRPr="00062C0D" w:rsidR="00D36590" w:rsidP="00D36590" w:rsidRDefault="00D36590" w14:paraId="0C2266BB" w14:textId="77777777">
      <w:pPr>
        <w:rPr>
          <w:sz w:val="24"/>
        </w:rPr>
      </w:pPr>
    </w:p>
    <w:p w:rsidRPr="00062C0D" w:rsidR="00D36590" w:rsidP="00D36590" w:rsidRDefault="00D36590" w14:paraId="1ECBC3AA" w14:textId="77777777">
      <w:pPr>
        <w:pStyle w:val="Prrafodelista"/>
        <w:numPr>
          <w:ilvl w:val="0"/>
          <w:numId w:val="3"/>
        </w:numPr>
        <w:jc w:val="both"/>
        <w:rPr>
          <w:rFonts w:ascii="Cambria" w:hAnsi="Cambria"/>
        </w:rPr>
      </w:pPr>
      <w:r w:rsidRPr="00062C0D">
        <w:rPr>
          <w:rFonts w:ascii="Cambria" w:hAnsi="Cambria"/>
        </w:rPr>
        <w:t>En su momento se aprobaron modificaciones al Reglamento para la Calificación de Deudores, Acuerdo SUGEF 1-05, destacando aquellas que tuvieron como finalidad flexibilizar la definición de operación crediticia especial y operación readecuada, así como prescindir de la evaluación de la capacidad de pago de los deudores bajo escenarios de estrés en la etapa de seguimiento, entre otras.</w:t>
      </w:r>
    </w:p>
    <w:p w:rsidRPr="00062C0D" w:rsidR="00D36590" w:rsidP="00D36590" w:rsidRDefault="00D36590" w14:paraId="0A1E1F49" w14:textId="77777777">
      <w:pPr>
        <w:pStyle w:val="Prrafodelista"/>
        <w:rPr>
          <w:rFonts w:ascii="Cambria" w:hAnsi="Cambria"/>
        </w:rPr>
      </w:pPr>
    </w:p>
    <w:p w:rsidRPr="00062C0D" w:rsidR="00D36590" w:rsidP="00D36590" w:rsidRDefault="00D36590" w14:paraId="40A2F4C8" w14:textId="77777777">
      <w:pPr>
        <w:pStyle w:val="Prrafodelista"/>
        <w:numPr>
          <w:ilvl w:val="0"/>
          <w:numId w:val="3"/>
        </w:numPr>
        <w:jc w:val="both"/>
        <w:rPr>
          <w:rFonts w:ascii="Cambria" w:hAnsi="Cambria"/>
        </w:rPr>
      </w:pPr>
      <w:r w:rsidRPr="00062C0D">
        <w:rPr>
          <w:rFonts w:ascii="Cambria" w:hAnsi="Cambria"/>
        </w:rPr>
        <w:t>Estas modificaciones otorgaron espacio a las entidades para gestionar con sus deudores readecuaciones de pago, sin una afectación directa e inmediata en el cómputo de estimaciones crediticias y sin menoscabo en la continuidad de la actividad crediticia.</w:t>
      </w:r>
    </w:p>
    <w:p w:rsidRPr="00062C0D" w:rsidR="00D36590" w:rsidP="00D36590" w:rsidRDefault="00D36590" w14:paraId="46957E83" w14:textId="77777777">
      <w:pPr>
        <w:pStyle w:val="Prrafodelista"/>
        <w:rPr>
          <w:rFonts w:ascii="Cambria" w:hAnsi="Cambria"/>
        </w:rPr>
      </w:pPr>
    </w:p>
    <w:p w:rsidRPr="00062C0D" w:rsidR="00D36590" w:rsidP="00D36590" w:rsidRDefault="00D36590" w14:paraId="702349F8" w14:textId="77777777">
      <w:pPr>
        <w:pStyle w:val="Prrafodelista"/>
        <w:numPr>
          <w:ilvl w:val="0"/>
          <w:numId w:val="3"/>
        </w:numPr>
        <w:jc w:val="both"/>
        <w:rPr>
          <w:rFonts w:ascii="Cambria" w:hAnsi="Cambria"/>
        </w:rPr>
      </w:pPr>
      <w:r w:rsidRPr="00062C0D">
        <w:rPr>
          <w:rFonts w:ascii="Cambria" w:hAnsi="Cambria"/>
        </w:rPr>
        <w:t xml:space="preserve">Como complemento de estas acciones, y con el fin de monitorear los efectos de la crisis y las acciones tomadas por las entidades, mediante las </w:t>
      </w:r>
      <w:r w:rsidRPr="00062C0D">
        <w:rPr>
          <w:rFonts w:ascii="Cambria" w:hAnsi="Cambria"/>
          <w:bCs/>
        </w:rPr>
        <w:t xml:space="preserve">circulares externas </w:t>
      </w:r>
      <w:r w:rsidRPr="00062C0D">
        <w:rPr>
          <w:rFonts w:ascii="Cambria" w:hAnsi="Cambria"/>
          <w:bCs/>
        </w:rPr>
        <w:lastRenderedPageBreak/>
        <w:t>SGF</w:t>
      </w:r>
      <w:r w:rsidRPr="00062C0D">
        <w:rPr>
          <w:rFonts w:ascii="Cambria" w:hAnsi="Cambria"/>
        </w:rPr>
        <w:t xml:space="preserve">-2584-2020 y SGF-3019-2020 del 4 de agosto de 2020 y 1 de setiembre de 2020, respectivamente, la SUGEF solicitó a las entidades supervisadas la remisión de un plan de gestión de la cartera de crédito, a partir de su clasificación según tipo de crédito y segmento de riesgo (bajo, medio, alto – viable y alto – no viable), así como la remisión de informes mensuales de avance de dicho plan. Asimismo, mediante la circular externa SGF-1939-2022 del 26 de septiembre de 2022, la SUGEF modificó la periodicidad de remisión del Informe de gestión de cartera requerido en las circulares externas aludidas, </w:t>
      </w:r>
      <w:r w:rsidRPr="00062C0D">
        <w:rPr>
          <w:rFonts w:ascii="Cambria" w:hAnsi="Cambria" w:cs="Calibri"/>
          <w:lang w:val="es-CR" w:eastAsia="es-CR"/>
        </w:rPr>
        <w:t>de mensual a trimestral.</w:t>
      </w:r>
    </w:p>
    <w:p w:rsidRPr="00062C0D" w:rsidR="00D36590" w:rsidP="00D36590" w:rsidRDefault="00D36590" w14:paraId="14D99BE5" w14:textId="77777777">
      <w:pPr>
        <w:pStyle w:val="Prrafodelista"/>
        <w:ind w:left="360"/>
        <w:contextualSpacing/>
        <w:jc w:val="both"/>
        <w:outlineLvl w:val="0"/>
        <w:rPr>
          <w:rFonts w:ascii="Cambria" w:hAnsi="Cambria"/>
        </w:rPr>
      </w:pPr>
    </w:p>
    <w:p w:rsidRPr="00062C0D" w:rsidR="00D36590" w:rsidP="00D36590" w:rsidRDefault="00D36590" w14:paraId="7B3E49C6" w14:textId="77777777">
      <w:pPr>
        <w:pStyle w:val="Prrafodelista"/>
        <w:numPr>
          <w:ilvl w:val="0"/>
          <w:numId w:val="3"/>
        </w:numPr>
        <w:contextualSpacing/>
        <w:jc w:val="both"/>
        <w:outlineLvl w:val="0"/>
        <w:rPr>
          <w:rFonts w:ascii="Cambria" w:hAnsi="Cambria"/>
        </w:rPr>
      </w:pPr>
      <w:r w:rsidRPr="00062C0D">
        <w:rPr>
          <w:rFonts w:ascii="Cambria" w:hAnsi="Cambria"/>
        </w:rPr>
        <w:t>Conforme las medidas de flexibilización fueron levantándose, en línea con declaraciones de autoridades internacionales y nacionales sobre la evolución de la emergencia, de manera gradual, las mediciones prudenciales fueron adecuándose nuevamente para reflejar los riesgos inherentes de las carteras crediticias. Asimismo, la cantidad de modificaciones en las condiciones contractuales de los créditos fue disminuyendo y con el transcurso del tiempo los intermediarios financieros han efectuado una mejor valoración sobre el impacto de la crisis en la situación de los deudores y en su cartera crediticia.</w:t>
      </w:r>
    </w:p>
    <w:p w:rsidRPr="00062C0D" w:rsidR="00D36590" w:rsidP="00D36590" w:rsidRDefault="00D36590" w14:paraId="1FA129DE" w14:textId="77777777">
      <w:pPr>
        <w:contextualSpacing/>
        <w:outlineLvl w:val="0"/>
        <w:rPr>
          <w:sz w:val="24"/>
        </w:rPr>
      </w:pPr>
    </w:p>
    <w:p w:rsidRPr="00062C0D" w:rsidR="00D36590" w:rsidP="00D36590" w:rsidRDefault="00D36590" w14:paraId="04CFE3B9" w14:textId="77777777">
      <w:pPr>
        <w:contextualSpacing/>
        <w:outlineLvl w:val="0"/>
        <w:rPr>
          <w:b/>
          <w:sz w:val="24"/>
        </w:rPr>
      </w:pPr>
      <w:r w:rsidRPr="00062C0D">
        <w:rPr>
          <w:b/>
          <w:sz w:val="24"/>
        </w:rPr>
        <w:t>Dispone:</w:t>
      </w:r>
    </w:p>
    <w:p w:rsidRPr="00062C0D" w:rsidR="00D36590" w:rsidP="00D36590" w:rsidRDefault="00D36590" w14:paraId="365FDAEB" w14:textId="77777777">
      <w:pPr>
        <w:rPr>
          <w:sz w:val="24"/>
        </w:rPr>
      </w:pPr>
    </w:p>
    <w:p w:rsidRPr="00062C0D" w:rsidR="00D36590" w:rsidP="00D36590" w:rsidRDefault="00D36590" w14:paraId="165E3161" w14:textId="2F324BAA">
      <w:pPr>
        <w:rPr>
          <w:sz w:val="24"/>
        </w:rPr>
      </w:pPr>
      <w:r w:rsidRPr="00062C0D">
        <w:rPr>
          <w:sz w:val="24"/>
        </w:rPr>
        <w:t xml:space="preserve">Derogar las </w:t>
      </w:r>
      <w:r w:rsidRPr="00062C0D">
        <w:rPr>
          <w:bCs/>
          <w:sz w:val="24"/>
        </w:rPr>
        <w:t>Circulares externas SGF</w:t>
      </w:r>
      <w:r w:rsidRPr="00062C0D">
        <w:rPr>
          <w:sz w:val="24"/>
        </w:rPr>
        <w:t>-2584-2020, SGF-3019-2020 y SGF-1939-2022 del 4 de agosto de 2020, 1 de setiembre de 2020 y 26 de septiembre de 2022, respectivamente, mediante las cuales se solicitó a los intermediarios financieros, remitir a la SUGEF, a más tardar el 30 de setiembre del 2020, un plan de gestión de la cartera de crédito e informes trimestrales de avance de dicho plan.</w:t>
      </w:r>
    </w:p>
    <w:p w:rsidRPr="00062C0D" w:rsidR="00D36590" w:rsidP="00D36590" w:rsidRDefault="00D36590" w14:paraId="36991F12" w14:textId="77777777">
      <w:pPr>
        <w:rPr>
          <w:sz w:val="24"/>
        </w:rPr>
      </w:pPr>
    </w:p>
    <w:p w:rsidRPr="00062C0D" w:rsidR="00D36590" w:rsidP="00D36590" w:rsidRDefault="00D36590" w14:paraId="2B49BE4C" w14:textId="77777777">
      <w:pPr>
        <w:rPr>
          <w:sz w:val="24"/>
        </w:rPr>
      </w:pPr>
      <w:r w:rsidRPr="00062C0D">
        <w:rPr>
          <w:sz w:val="24"/>
        </w:rPr>
        <w:t xml:space="preserve">Rige a partir de su comunicación. </w:t>
      </w:r>
    </w:p>
    <w:p w:rsidRPr="00062C0D" w:rsidR="00D36590" w:rsidP="00D36590" w:rsidRDefault="00D36590" w14:paraId="47162B65" w14:textId="77777777">
      <w:pPr>
        <w:rPr>
          <w:sz w:val="24"/>
        </w:rPr>
      </w:pPr>
    </w:p>
    <w:p w:rsidRPr="00062C0D" w:rsidR="00D36590" w:rsidP="00D36590" w:rsidRDefault="00D36590" w14:paraId="388BADF7" w14:textId="77777777">
      <w:pPr>
        <w:pStyle w:val="Texto"/>
        <w:spacing w:before="0" w:after="0" w:line="240" w:lineRule="auto"/>
        <w:rPr>
          <w:sz w:val="24"/>
        </w:rPr>
      </w:pPr>
      <w:r w:rsidRPr="00062C0D">
        <w:rPr>
          <w:sz w:val="24"/>
        </w:rPr>
        <w:t>Atentamente,</w:t>
      </w:r>
    </w:p>
    <w:p w:rsidRPr="00062C0D" w:rsidR="00D36590" w:rsidP="00D36590" w:rsidRDefault="00D36590" w14:paraId="619DA243" w14:textId="77777777">
      <w:pPr>
        <w:pStyle w:val="Texto"/>
        <w:spacing w:before="0" w:after="0" w:line="240" w:lineRule="auto"/>
        <w:rPr>
          <w:sz w:val="24"/>
        </w:rPr>
      </w:pPr>
      <w:r w:rsidRPr="00062C0D">
        <w:rPr>
          <w:noProof/>
          <w:sz w:val="24"/>
          <w:lang w:val="es-CR" w:eastAsia="es-CR"/>
        </w:rPr>
        <w:drawing>
          <wp:anchor distT="0" distB="0" distL="114300" distR="114300" simplePos="0" relativeHeight="251659264" behindDoc="1" locked="0" layoutInCell="1" allowOverlap="1" wp14:editId="517D08D8" wp14:anchorId="49E0D5F6">
            <wp:simplePos x="0" y="0"/>
            <wp:positionH relativeFrom="margin">
              <wp:posOffset>-107655</wp:posOffset>
            </wp:positionH>
            <wp:positionV relativeFrom="paragraph">
              <wp:posOffset>98809</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062C0D" w:rsidR="00D36590" w:rsidP="00D36590" w:rsidRDefault="00D36590" w14:paraId="7766D3C1" w14:textId="77777777">
      <w:pPr>
        <w:spacing w:line="240" w:lineRule="auto"/>
        <w:rPr>
          <w:sz w:val="24"/>
        </w:rPr>
      </w:pPr>
    </w:p>
    <w:p w:rsidRPr="00062C0D" w:rsidR="00D36590" w:rsidP="00D36590" w:rsidRDefault="00D36590" w14:paraId="3ED69723" w14:textId="77777777">
      <w:pPr>
        <w:spacing w:line="240" w:lineRule="auto"/>
        <w:rPr>
          <w:b/>
          <w:sz w:val="24"/>
        </w:rPr>
      </w:pPr>
    </w:p>
    <w:p w:rsidRPr="00062C0D" w:rsidR="00D36590" w:rsidP="00D36590" w:rsidRDefault="00D36590" w14:paraId="4970F5A7" w14:textId="77777777">
      <w:pPr>
        <w:spacing w:line="240" w:lineRule="auto"/>
        <w:rPr>
          <w:sz w:val="24"/>
        </w:rPr>
      </w:pPr>
      <w:r w:rsidRPr="00062C0D">
        <w:rPr>
          <w:sz w:val="24"/>
        </w:rPr>
        <w:t>José Armando Fallas Martínez</w:t>
      </w:r>
    </w:p>
    <w:p w:rsidRPr="00062C0D" w:rsidR="00D36590" w:rsidP="00D36590" w:rsidRDefault="00D36590" w14:paraId="0D8CDCA4" w14:textId="77777777">
      <w:pPr>
        <w:spacing w:line="240" w:lineRule="auto"/>
        <w:rPr>
          <w:b/>
          <w:sz w:val="24"/>
        </w:rPr>
      </w:pPr>
      <w:r w:rsidRPr="00062C0D">
        <w:rPr>
          <w:b/>
          <w:sz w:val="24"/>
        </w:rPr>
        <w:t>Intendente General</w:t>
      </w:r>
    </w:p>
    <w:p w:rsidRPr="00062C0D" w:rsidR="00D36590" w:rsidP="00D36590" w:rsidRDefault="00D36590" w14:paraId="6FF9324D" w14:textId="77777777">
      <w:pPr>
        <w:rPr>
          <w:b/>
          <w:sz w:val="24"/>
        </w:rPr>
      </w:pPr>
    </w:p>
    <w:p w:rsidRPr="00062C0D" w:rsidR="00D36590" w:rsidP="00D36590" w:rsidRDefault="00D36590" w14:paraId="460BB30D" w14:textId="77777777">
      <w:pPr>
        <w:spacing w:line="240" w:lineRule="auto"/>
        <w:contextualSpacing/>
        <w:rPr>
          <w:sz w:val="24"/>
        </w:rPr>
      </w:pPr>
      <w:r w:rsidRPr="00062C0D">
        <w:rPr>
          <w:b/>
          <w:bCs/>
          <w:sz w:val="24"/>
        </w:rPr>
        <w:t>JSC/GAA/MFC/JBA/gvl*</w:t>
      </w:r>
    </w:p>
    <w:p w:rsidRPr="0003495B" w:rsidR="00E42AAC" w:rsidP="0003495B" w:rsidRDefault="00E42AAC" w14:paraId="60486726" w14:textId="3EFA445F">
      <w:pPr>
        <w:spacing w:line="240" w:lineRule="auto"/>
        <w:contextualSpacing/>
        <w:rPr>
          <w:szCs w:val="22"/>
        </w:rPr>
      </w:pPr>
    </w:p>
    <w:sectPr w:rsidRPr="0003495B" w:rsidR="00E42AAC">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BA69" w14:textId="77777777" w:rsidR="00EB1F73" w:rsidRDefault="00EB1F73" w:rsidP="00181ABF">
      <w:pPr>
        <w:spacing w:line="240" w:lineRule="auto"/>
      </w:pPr>
      <w:r>
        <w:separator/>
      </w:r>
    </w:p>
  </w:endnote>
  <w:endnote w:type="continuationSeparator" w:id="0">
    <w:p w14:paraId="3BB51E6D" w14:textId="77777777" w:rsidR="00EB1F73" w:rsidRDefault="00EB1F73"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C0D" w:rsidRDefault="00062C0D" w14:paraId="4B3BE0D9"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569BC5E3" w14:textId="77777777">
      <w:tc>
        <w:tcPr>
          <w:tcW w:w="7356" w:type="dxa"/>
        </w:tcPr>
        <w:p w:rsidR="00825A38" w:rsidP="00825A38" w:rsidRDefault="00825A38" w14:paraId="7D1AA93D"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0FC09011" wp14:anchorId="56AB96AF">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2D8B3F06"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6AB96AF">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2D8B3F06"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02DB852C" w14:textId="77777777">
          <w:pPr>
            <w:pStyle w:val="Piedepgina"/>
            <w:rPr>
              <w:b/>
              <w:color w:val="7F7F7F" w:themeColor="text1" w:themeTint="80"/>
              <w:sz w:val="16"/>
              <w:szCs w:val="16"/>
            </w:rPr>
          </w:pPr>
        </w:p>
      </w:tc>
      <w:tc>
        <w:tcPr>
          <w:tcW w:w="1472" w:type="dxa"/>
        </w:tcPr>
        <w:p w:rsidRPr="009349F3" w:rsidR="00825A38" w:rsidP="00181ABF" w:rsidRDefault="00825A38" w14:paraId="3A908DC6"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310387F5" w14:textId="77777777">
    <w:pPr>
      <w:pStyle w:val="Piedepgina"/>
    </w:pPr>
    <w:r>
      <w:rPr>
        <w:noProof/>
      </w:rPr>
      <w:drawing>
        <wp:anchor distT="0" distB="0" distL="114300" distR="114300" simplePos="0" relativeHeight="251659264" behindDoc="1" locked="0" layoutInCell="1" allowOverlap="1" wp14:editId="2E848912" wp14:anchorId="6963A381">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C0D" w:rsidRDefault="00062C0D" w14:paraId="3928694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48E6" w14:textId="77777777" w:rsidR="00EB1F73" w:rsidRDefault="00EB1F73" w:rsidP="00181ABF">
      <w:pPr>
        <w:spacing w:line="240" w:lineRule="auto"/>
      </w:pPr>
      <w:r>
        <w:separator/>
      </w:r>
    </w:p>
  </w:footnote>
  <w:footnote w:type="continuationSeparator" w:id="0">
    <w:p w14:paraId="4574AD30" w14:textId="77777777" w:rsidR="00EB1F73" w:rsidRDefault="00EB1F73"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C0D" w:rsidRDefault="00062C0D" w14:paraId="276CCCF4"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20E3534E" w14:textId="77777777">
    <w:pPr>
      <w:pStyle w:val="Encabezado"/>
    </w:pPr>
  </w:p>
  <w:p w:rsidR="00181ABF" w:rsidP="00825A38" w:rsidRDefault="00181ABF" w14:paraId="4BFFA590" w14:textId="77777777">
    <w:pPr>
      <w:pStyle w:val="Encabezado"/>
      <w:jc w:val="left"/>
    </w:pPr>
    <w:r>
      <w:rPr>
        <w:noProof/>
        <w:lang w:val="es-CR" w:eastAsia="es-CR"/>
      </w:rPr>
      <w:drawing>
        <wp:inline distT="0" distB="0" distL="0" distR="0" wp14:anchorId="17FB2B1E" wp14:editId="19B1D7A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C0D" w:rsidRDefault="00062C0D" w14:paraId="1EFB270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B2E4D44"/>
    <w:multiLevelType w:val="hybridMultilevel"/>
    <w:tmpl w:val="93909788"/>
    <w:lvl w:ilvl="0" w:tplc="140A000B">
      <w:start w:val="1"/>
      <w:numFmt w:val="bullet"/>
      <w:lvlText w:val=""/>
      <w:lvlJc w:val="left"/>
      <w:pPr>
        <w:ind w:left="754" w:hanging="360"/>
      </w:pPr>
      <w:rPr>
        <w:rFonts w:ascii="Wingdings" w:hAnsi="Wingdings"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355540587">
    <w:abstractNumId w:val="0"/>
  </w:num>
  <w:num w:numId="2" w16cid:durableId="1634099836">
    <w:abstractNumId w:val="2"/>
  </w:num>
  <w:num w:numId="3" w16cid:durableId="1274560438">
    <w:abstractNumId w:val="3"/>
  </w:num>
  <w:num w:numId="4" w16cid:durableId="1516962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73"/>
    <w:rsid w:val="000202E3"/>
    <w:rsid w:val="0003495B"/>
    <w:rsid w:val="00062C0D"/>
    <w:rsid w:val="00181ABF"/>
    <w:rsid w:val="00226DDC"/>
    <w:rsid w:val="002F5487"/>
    <w:rsid w:val="003172BE"/>
    <w:rsid w:val="0046105A"/>
    <w:rsid w:val="006501FC"/>
    <w:rsid w:val="00823C58"/>
    <w:rsid w:val="00825A38"/>
    <w:rsid w:val="008C7F0D"/>
    <w:rsid w:val="00937EF0"/>
    <w:rsid w:val="00B65D6B"/>
    <w:rsid w:val="00C82524"/>
    <w:rsid w:val="00D2422E"/>
    <w:rsid w:val="00D36590"/>
    <w:rsid w:val="00D67CC3"/>
    <w:rsid w:val="00D90222"/>
    <w:rsid w:val="00D975B3"/>
    <w:rsid w:val="00DF2ACF"/>
    <w:rsid w:val="00E42AAC"/>
    <w:rsid w:val="00EB1F7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1A87B"/>
  <w15:chartTrackingRefBased/>
  <w15:docId w15:val="{406C1D78-474B-47EA-B88B-8F63376A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paragraph" w:styleId="Prrafodelista">
    <w:name w:val="List Paragraph"/>
    <w:basedOn w:val="Normal"/>
    <w:link w:val="PrrafodelistaCar"/>
    <w:uiPriority w:val="34"/>
    <w:qFormat/>
    <w:rsid w:val="00EB1F73"/>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EB1F7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0466BC69D14F8982C02EA5A96E0726"/>
        <w:category>
          <w:name w:val="General"/>
          <w:gallery w:val="placeholder"/>
        </w:category>
        <w:types>
          <w:type w:val="bbPlcHdr"/>
        </w:types>
        <w:behaviors>
          <w:behavior w:val="content"/>
        </w:behaviors>
        <w:guid w:val="{707FDE2E-CC2F-46EE-A2A6-82D59287BF74}"/>
      </w:docPartPr>
      <w:docPartBody>
        <w:p w:rsidR="002463C5" w:rsidRDefault="002463C5">
          <w:pPr>
            <w:pStyle w:val="E00466BC69D14F8982C02EA5A96E0726"/>
          </w:pPr>
          <w:r w:rsidRPr="001E0779">
            <w:rPr>
              <w:rStyle w:val="Textodelmarcadordeposicin"/>
            </w:rPr>
            <w:t>Haga clic aquí para escribir texto.</w:t>
          </w:r>
        </w:p>
      </w:docPartBody>
    </w:docPart>
    <w:docPart>
      <w:docPartPr>
        <w:name w:val="A741A57C9E0E4A42A227652F8045B909"/>
        <w:category>
          <w:name w:val="General"/>
          <w:gallery w:val="placeholder"/>
        </w:category>
        <w:types>
          <w:type w:val="bbPlcHdr"/>
        </w:types>
        <w:behaviors>
          <w:behavior w:val="content"/>
        </w:behaviors>
        <w:guid w:val="{2ABC956B-96D0-4028-AB70-5760859A09AE}"/>
      </w:docPartPr>
      <w:docPartBody>
        <w:p w:rsidR="002463C5" w:rsidRDefault="002463C5">
          <w:pPr>
            <w:pStyle w:val="A741A57C9E0E4A42A227652F8045B90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C5"/>
    <w:rsid w:val="002463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E00466BC69D14F8982C02EA5A96E0726">
    <w:name w:val="E00466BC69D14F8982C02EA5A96E0726"/>
  </w:style>
  <w:style w:type="paragraph" w:customStyle="1" w:styleId="A741A57C9E0E4A42A227652F8045B909">
    <w:name w:val="A741A57C9E0E4A42A227652F8045B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Ch9c38yYOpQa7uyhP2GeecLrQhj7QdV7iFL7/JFzGAM=</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Tp9GzZug9XyFX/+tOAo/XB7phfX9HWAfJ4lDLtQfwHw=</DigestValue>
    </Reference>
  </SignedInfo>
  <SignatureValue>VSBnzhoPwo8v0F9vmG+oNm++bFa/qLJBWZL02NnXBk2xrmKF1IUikQ34yLMo7WFMNSbdEUvXJV+e
RohNYkA/4o+FzsMKRT5nL5UQFPUKVhlOrmOIY3rzIT5SkzcUDIVUqZxbUfB93Z4o6CHvz4kBm/+0
vEdi3SxYP8f3pwal4TyF1rf3Eam75yuAuGhSmaesUSMsz6b9H7QLYgEUxVzQ2iShT/lUpOoPBe5a
foi22Cx1SJ1OouGakmm4mX4DEoi0+zGt1WDfCJ4n0oVHv73LfTYQeihYW9/da38NtqUnQQZ9fUxl
f1QLIbyMLnv5kfxOaFPDvANGy0IMo9NXPfsHyw==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JruRXOw1UI+Bm6C1naTamAiHNZJHZ/SP914Pk1pGL18=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DPJM+ZO1heo8fchpU1Cj7qPC7WygZVRu5KmgS3J2C9c=</DigestValue>
      </Reference>
      <Reference URI="/word/endnotes.xml?ContentType=application/vnd.openxmlformats-officedocument.wordprocessingml.endnotes+xml">
        <DigestMethod Algorithm="http://www.w3.org/2001/04/xmlenc#sha256"/>
        <DigestValue>NfRoNEoM6ro9aM2eypI7rvo6wncaBgbmsDjbzfp26xI=</DigestValue>
      </Reference>
      <Reference URI="/word/fontTable.xml?ContentType=application/vnd.openxmlformats-officedocument.wordprocessingml.fontTable+xml">
        <DigestMethod Algorithm="http://www.w3.org/2001/04/xmlenc#sha256"/>
        <DigestValue>C7SIajaVZJos9aIG1Dlb7Z+Ym0WffEWcyY3yvkBFe/M=</DigestValue>
      </Reference>
      <Reference URI="/word/footer1.xml?ContentType=application/vnd.openxmlformats-officedocument.wordprocessingml.footer+xml">
        <DigestMethod Algorithm="http://www.w3.org/2001/04/xmlenc#sha256"/>
        <DigestValue>/iKBkqOERVaKpoeQYC/Jyy05tALRadyDU2t6Ut8gHEk=</DigestValue>
      </Reference>
      <Reference URI="/word/footer2.xml?ContentType=application/vnd.openxmlformats-officedocument.wordprocessingml.footer+xml">
        <DigestMethod Algorithm="http://www.w3.org/2001/04/xmlenc#sha256"/>
        <DigestValue>9j2AH1AmptCv36KEHqXORQNXo4uplNeoOYNmctR797s=</DigestValue>
      </Reference>
      <Reference URI="/word/footer3.xml?ContentType=application/vnd.openxmlformats-officedocument.wordprocessingml.footer+xml">
        <DigestMethod Algorithm="http://www.w3.org/2001/04/xmlenc#sha256"/>
        <DigestValue>9QmqM1hCG2ibTNOVeZd8l9FUD8fJzyYcLKV6rVfLrJQ=</DigestValue>
      </Reference>
      <Reference URI="/word/footnotes.xml?ContentType=application/vnd.openxmlformats-officedocument.wordprocessingml.footnotes+xml">
        <DigestMethod Algorithm="http://www.w3.org/2001/04/xmlenc#sha256"/>
        <DigestValue>q88/DywjAHlp9CZlgZlUmTzvtk7O7ndcEETGRJF1gwE=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MqLo4nzKJxSzJ+WhfO9SQJ974LlruIjO0tjZvzu+mQ8=</DigestValue>
      </Reference>
      <Reference URI="/word/glossary/fontTable.xml?ContentType=application/vnd.openxmlformats-officedocument.wordprocessingml.fontTable+xml">
        <DigestMethod Algorithm="http://www.w3.org/2001/04/xmlenc#sha256"/>
        <DigestValue>C7SIajaVZJos9aIG1Dlb7Z+Ym0WffEWcyY3yvkBFe/M=</DigestValue>
      </Reference>
      <Reference URI="/word/glossary/settings.xml?ContentType=application/vnd.openxmlformats-officedocument.wordprocessingml.settings+xml">
        <DigestMethod Algorithm="http://www.w3.org/2001/04/xmlenc#sha256"/>
        <DigestValue>a6PLeKvKEU9t10nbIrwqeJDo3yc++bEVkDK63GEU1mg=</DigestValue>
      </Reference>
      <Reference URI="/word/glossary/styles.xml?ContentType=application/vnd.openxmlformats-officedocument.wordprocessingml.styles+xml">
        <DigestMethod Algorithm="http://www.w3.org/2001/04/xmlenc#sha256"/>
        <DigestValue>GobFMUnCPKsLC4eJpshwx8d7B7tR4c3b6vPN0sSifhQ=</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7kMjq7TbdpskA/4eiI9cHjOyKrzN3v5Pa8n0TQwdrOc=</DigestValue>
      </Reference>
      <Reference URI="/word/header2.xml?ContentType=application/vnd.openxmlformats-officedocument.wordprocessingml.header+xml">
        <DigestMethod Algorithm="http://www.w3.org/2001/04/xmlenc#sha256"/>
        <DigestValue>MdCAAeafPQeGXOrCMMmfzChF5+WZ+L3I/9UdYObop4Y=</DigestValue>
      </Reference>
      <Reference URI="/word/header3.xml?ContentType=application/vnd.openxmlformats-officedocument.wordprocessingml.header+xml">
        <DigestMethod Algorithm="http://www.w3.org/2001/04/xmlenc#sha256"/>
        <DigestValue>W0/st/nFOxADoQZIDSRGDIp1PP+cWhibsqhXLjXum4o=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dKCs1+15WJfrfaEsM7ADYXdZQdC9Dl6nFtM6TaxAyiU=</DigestValue>
      </Reference>
      <Reference URI="/word/settings.xml?ContentType=application/vnd.openxmlformats-officedocument.wordprocessingml.settings+xml">
        <DigestMethod Algorithm="http://www.w3.org/2001/04/xmlenc#sha256"/>
        <DigestValue>J7lG3lmmVJygUISLPpakoe0uctTMgCuz0+HLIoJbd1g=</DigestValue>
      </Reference>
      <Reference URI="/word/styles.xml?ContentType=application/vnd.openxmlformats-officedocument.wordprocessingml.styles+xml">
        <DigestMethod Algorithm="http://www.w3.org/2001/04/xmlenc#sha256"/>
        <DigestValue>p9RRDH8NBoqCgQnpBIEzWAc0dDHvNhBIbu4m/iGyc2c=</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2023-11-01T17:36:12Z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2023-11-01T17:36:12Z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ib6L8gcnxGvvLOYLrEq8VX/UWw6nTPf15rGEcWn4kCBBc7uuYYDzIwMjMxMTAxMTczNj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BXbD/xnlmPCBgS8utEMgMiXB418=</xd:ByKey>
                  </xd:ResponderID>
                  <xd:ProducedAt>2023-11-01T17:33:29Z</xd:ProducedAt>
                </xd:OCSPIdentifier>
                <xd:DigestAlgAndValue>
                  <DigestMethod Algorithm="http://www.w3.org/2001/04/xmlenc#sha256"/>
                  <DigestValue>TIeHr43DGNhLlK658ZEtOg3pfvlAckSQeqDd3S1JFe4=</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VcUTNC242IYOxgP+EtcI3jupzJ2kB8nxmpEKsbU0wQECBBc7uugYDzIwMjMxMTAxMTczNj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DIRECTORES DE SUPERVISION</DisplayName>
        <AccountId>717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Derogatoria Circulares externas SGF-2584-2020 y SGF-3019-2020-Plan gestión cartera crédito.
Copiar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Derogatoria Circulares externas SGF-2584-2020 y SGF-3019-2020-Plan gestión cartera crédito</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D762EDF-4A89-4E3E-A350-2E78F00AC85E}"/>
</file>

<file path=customXml/itemProps2.xml><?xml version="1.0" encoding="utf-8"?>
<ds:datastoreItem xmlns:ds="http://schemas.openxmlformats.org/officeDocument/2006/customXml" ds:itemID="{9E241574-3D5B-4234-9DD6-DE57D741D1A2}"/>
</file>

<file path=customXml/itemProps3.xml><?xml version="1.0" encoding="utf-8"?>
<ds:datastoreItem xmlns:ds="http://schemas.openxmlformats.org/officeDocument/2006/customXml" ds:itemID="{897877BF-7EAA-46B7-8339-ECE9289922ED}"/>
</file>

<file path=customXml/itemProps4.xml><?xml version="1.0" encoding="utf-8"?>
<ds:datastoreItem xmlns:ds="http://schemas.openxmlformats.org/officeDocument/2006/customXml" ds:itemID="{E51F43AF-6E04-4A9C-B9C8-D58BA8B7B4F4}"/>
</file>

<file path=customXml/itemProps5.xml><?xml version="1.0" encoding="utf-8"?>
<ds:datastoreItem xmlns:ds="http://schemas.openxmlformats.org/officeDocument/2006/customXml" ds:itemID="{990DC418-AEE4-4C48-A164-A86BA94B165D}"/>
</file>

<file path=customXml/itemProps6.xml><?xml version="1.0" encoding="utf-8"?>
<ds:datastoreItem xmlns:ds="http://schemas.openxmlformats.org/officeDocument/2006/customXml" ds:itemID="{7629B074-CD55-4B41-BBC3-4397D66BEFF4}"/>
</file>

<file path=docProps/app.xml><?xml version="1.0" encoding="utf-8"?>
<Properties xmlns="http://schemas.openxmlformats.org/officeDocument/2006/extended-properties" xmlns:vt="http://schemas.openxmlformats.org/officeDocument/2006/docPropsVTypes">
  <Template>plantilla-SGF-DST-DNO-22</Template>
  <TotalTime>31</TotalTime>
  <Pages>2</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BARRANTES ASTORGA JOHNNY MAURICIO</dc:creator>
  <cp:keywords/>
  <dc:description/>
  <cp:lastModifiedBy>VARGAS LEAL MARIA GABRIELA</cp:lastModifiedBy>
  <cp:revision>22</cp:revision>
  <dcterms:created xsi:type="dcterms:W3CDTF">2023-10-30T17:49:00Z</dcterms:created>
  <dcterms:modified xsi:type="dcterms:W3CDTF">2023-11-01T16:09:00Z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2023-10-31T14:50:15Z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4f4fb99b-1b47-4a7c-a0fc-e7625343714d</vt:lpwstr>
  </property>
  <property fmtid="{D5CDD505-2E9C-101B-9397-08002B2CF9AE}" pid="17" name="MSIP_Label_b8b4be34-365a-4a68-b9fb-75c1b6874315_ContentBits">
    <vt:lpwstr>2</vt:lpwstr>
  </property>
  <property fmtid="{D5CDD505-2E9C-101B-9397-08002B2CF9AE}" pid="18" name="Order">
    <vt:r8>134300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f1fd9d7f-da86-405a-9476-87cbb240632e,5;769919c7-9da3-41ff-b395-8ac0bca7c92c,8;</vt:lpwstr>
  </property>
</Properties>
</file>